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</w:t>
      </w:r>
      <w:r>
        <w:rPr>
          <w:rFonts w:hint="eastAsia" w:ascii="仿宋_GB2312" w:hAnsi="华文中宋"/>
          <w:bCs/>
          <w:sz w:val="24"/>
          <w:lang w:val="en-US" w:eastAsia="zh-CN"/>
        </w:rPr>
        <w:t>白岩</w:t>
      </w:r>
      <w:r>
        <w:rPr>
          <w:rFonts w:hint="eastAsia" w:ascii="仿宋_GB2312" w:hAnsi="华文中宋"/>
          <w:bCs/>
          <w:sz w:val="24"/>
        </w:rPr>
        <w:t xml:space="preserve">                           填表日期： 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三叶青种苗繁育及林下仿生套种技术集成与示范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国家林业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与草原局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至2021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白岩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主持项目、统筹分工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吴学谦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三叶青林下袋式栽培技术推广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刘守赞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基地建设管理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102.65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102.65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54.65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差旅费调出5万、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出版/文献/信息传播/知识产权事务费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调出6万、材料费调入11万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102.65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78.56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60.31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1.76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16.42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47E93FB6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13</TotalTime>
  <ScaleCrop>false</ScaleCrop>
  <LinksUpToDate>false</LinksUpToDate>
  <CharactersWithSpaces>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°绘九丶</cp:lastModifiedBy>
  <dcterms:modified xsi:type="dcterms:W3CDTF">2020-10-30T08:39:39Z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