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邵继锋                               填表日期： 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年10月2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水稻硼优先分配的分子机理研究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2020.1至2023.12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邵继锋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温室日常管理,水培管理以及土培实验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季海宝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样品消解，元素测定等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杨潮锋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载体构建亚细胞定位等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10.56万元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0.232万元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27EBC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1764"/>
    <w:rsid w:val="001F5E7C"/>
    <w:rsid w:val="00200E89"/>
    <w:rsid w:val="0022452B"/>
    <w:rsid w:val="002751A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01EF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24898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57E0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F014A37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227</Words>
  <Characters>1296</Characters>
  <Lines>10</Lines>
  <Paragraphs>3</Paragraphs>
  <TotalTime>35</TotalTime>
  <ScaleCrop>false</ScaleCrop>
  <LinksUpToDate>false</LinksUpToDate>
  <CharactersWithSpaces>1520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2020-11-17T13:48:38Z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