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default" w:ascii="仿宋_GB2312" w:hAnsi="华文中宋"/>
          <w:bCs/>
          <w:sz w:val="24"/>
        </w:rPr>
        <w:t>洪千里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</w:t>
      </w:r>
      <w:r>
        <w:rPr>
          <w:rFonts w:hint="default"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default"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default"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农村文化礼堂建设中的违建庙堂改造研究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浙江省社科规划办</w:t>
            </w:r>
          </w:p>
        </w:tc>
      </w:tr>
      <w:tr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2015年至2016年</w:t>
            </w:r>
          </w:p>
        </w:tc>
      </w:tr>
      <w:tr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洪千里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实地调研、论文撰写</w:t>
            </w:r>
          </w:p>
        </w:tc>
      </w:tr>
      <w:tr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李勇华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实地调研、论文撰写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雷家军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张国泉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张金凤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0.7192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巡回法庭进农村文化礼堂的法治教育之维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0.5723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0.0969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巡回法庭进农村文化礼堂的法治教育之维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2017年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浙江省社科规划办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 w:colFirst="2" w:colLast="7"/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通过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巡回法庭进农村文化礼堂的法治教育之维</w:t>
            </w:r>
          </w:p>
        </w:tc>
      </w:tr>
      <w:bookmarkEnd w:id="0"/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DD77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0</TotalTime>
  <ScaleCrop>false</ScaleCrop>
  <LinksUpToDate>false</LinksUpToDate>
  <CharactersWithSpaces>1362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2016-10-31T13:18:00Z</dcterms:created>
  <dc:creator>章晓燕</dc:creator>
  <cp:lastModifiedBy>hongqianli</cp:lastModifiedBy>
  <dcterms:modified xsi:type="dcterms:W3CDTF">2020-11-10T13:36:25Z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