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480" w:firstLine="48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仿宋_GB2312" w:hAnsi="宋体"/>
          <w:b/>
          <w:szCs w:val="28"/>
        </w:rPr>
        <w:t>附件2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            填表人：王楠 填表日期：2020年10月26日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毛竹林土壤呼吸对酸雨胁迫的响应研究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2019.01至2021.12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王楠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实验布置及测定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潘小承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土壤呼吸动态变化趋势及微生物特征研究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哀建国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土壤理化性质等环境因子变化研究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王传宽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东北林业大学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240" w:lineRule="atLeast"/>
        <w:rPr>
          <w:sz w:val="10"/>
          <w:szCs w:val="10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77A38"/>
    <w:rsid w:val="003805FE"/>
    <w:rsid w:val="00396AB3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B753C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3661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50D0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74E6E"/>
    <w:rsid w:val="00E87AD3"/>
    <w:rsid w:val="00E93049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11B458B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220</Words>
  <Characters>1257</Characters>
  <Lines>10</Lines>
  <Paragraphs>2</Paragraphs>
  <TotalTime>21</TotalTime>
  <ScaleCrop>false</ScaleCrop>
  <LinksUpToDate>false</LinksUpToDate>
  <CharactersWithSpaces>1475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2020-11-17T13:00:30Z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