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jc w:val="both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</w:t>
      </w:r>
      <w:r>
        <w:rPr>
          <w:rFonts w:hint="eastAsia" w:ascii="仿宋_GB2312" w:hAnsi="华文中宋"/>
          <w:bCs/>
          <w:sz w:val="24"/>
          <w:lang w:val="en-US" w:eastAsia="zh-CN"/>
        </w:rPr>
        <w:t>李光耀</w:t>
      </w:r>
      <w:r>
        <w:rPr>
          <w:rFonts w:hint="eastAsia" w:ascii="仿宋_GB2312" w:hAnsi="华文中宋"/>
          <w:bCs/>
          <w:sz w:val="24"/>
        </w:rPr>
        <w:t xml:space="preserve">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月 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402"/>
        <w:gridCol w:w="202"/>
        <w:gridCol w:w="1123"/>
        <w:gridCol w:w="140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竹/木基复合材料中SVOC散逸微介观机理及动力学模型构建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浙江省自然科学基金会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2018年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李光耀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教授</w:t>
            </w: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竹/木基复合材料中SVOC散逸微介观机理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发表SCI论文3篇，申请发明专利3项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B24D1"/>
    <w:rsid w:val="3A0D3CF9"/>
    <w:rsid w:val="587B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2020-11-10T01:38:00Z</dcterms:created>
  <dc:creator>牛牛和吉吉妈妈</dc:creator>
  <cp:lastModifiedBy>WPS_1563877973</cp:lastModifiedBy>
  <dcterms:modified xsi:type="dcterms:W3CDTF">2020-11-18T09:59:47Z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