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w:pict>
          <v:line id="_x0000_s1026" o:spid="_x0000_s1026" o:spt="20" style="position:absolute;left:0pt;margin-left:63pt;margin-top:20.8pt;height:0pt;width:90pt;z-index:251660288;mso-width-relative:page;mso-height-relative:page;" coordsize="21600,21600">
            <v:path arrowok="t"/>
            <v:fill focussize="0,0"/>
            <v:stroke/>
            <v:imagedata o:title=""/>
            <o:lock v:ext="edit"/>
          </v:line>
        </w:pict>
      </w:r>
      <w:r>
        <w:rPr>
          <w:rFonts w:ascii="仿宋_GB2312" w:hAnsi="华文中宋"/>
          <w:bCs/>
          <w:sz w:val="24"/>
        </w:rPr>
        <w:pict>
          <v:line id="_x0000_s1027" o:spid="_x0000_s1027" o:spt="20" style="position:absolute;left:0pt;margin-left:63pt;margin-top:20.8pt;height:0pt;width:90pt;z-index:251662336;mso-width-relative:page;mso-height-relative:page;" coordsize="21600,21600">
            <v:path arrowok="t"/>
            <v:fill focussize="0,0"/>
            <v:stroke/>
            <v:imagedata o:title=""/>
            <o:lock v:ext="edit"/>
          </v:line>
        </w:pict>
      </w:r>
      <w:r>
        <w:rPr>
          <w:rFonts w:hint="eastAsia" w:ascii="仿宋_GB2312" w:hAnsi="华文中宋"/>
          <w:bCs/>
          <w:sz w:val="24"/>
        </w:rPr>
        <w:t>填表人：  马中青                            填表日期： 2020年 11 月 11 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bookmarkStart w:id="0" w:name="_GoBack"/>
            <w:bookmarkEnd w:id="0"/>
            <w:r>
              <w:rPr>
                <w:rFonts w:hint="eastAsia" w:ascii="宋体" w:hAnsi="宋体" w:eastAsia="宋体"/>
                <w:sz w:val="21"/>
                <w:szCs w:val="21"/>
              </w:rPr>
              <w:t>林业生物质改性提质预处理及其催化热解制取生物基平台化学品的机理研究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ascii="宋体" w:hAnsi="宋体" w:eastAsia="宋体"/>
                <w:sz w:val="21"/>
                <w:szCs w:val="21"/>
              </w:rPr>
              <w:t>国家林业和草原局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2019年9月1日至2024年8月31日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浙江农林大学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马中青</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副教授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生物质</w:t>
            </w:r>
            <w:r>
              <w:rPr>
                <w:rFonts w:ascii="宋体" w:hAnsi="宋体" w:eastAsia="宋体"/>
                <w:sz w:val="21"/>
                <w:szCs w:val="21"/>
              </w:rPr>
              <w:t>热化学转化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赵超</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副教授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生物质</w:t>
            </w:r>
            <w:r>
              <w:rPr>
                <w:rFonts w:ascii="宋体" w:hAnsi="宋体" w:eastAsia="宋体"/>
                <w:sz w:val="21"/>
                <w:szCs w:val="21"/>
              </w:rPr>
              <w:t>预处理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叶结旺</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生物质结构</w:t>
            </w:r>
            <w:r>
              <w:rPr>
                <w:rFonts w:ascii="宋体" w:hAnsi="宋体" w:eastAsia="宋体"/>
                <w:sz w:val="21"/>
                <w:szCs w:val="21"/>
              </w:rPr>
              <w:t>特征分析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刘</w:t>
            </w:r>
            <w:r>
              <w:rPr>
                <w:rFonts w:ascii="宋体" w:hAnsi="宋体" w:eastAsia="宋体"/>
                <w:sz w:val="21"/>
                <w:szCs w:val="21"/>
              </w:rPr>
              <w:t>晓欢</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催化剂</w:t>
            </w:r>
            <w:r>
              <w:rPr>
                <w:rFonts w:ascii="宋体" w:hAnsi="宋体" w:eastAsia="宋体"/>
                <w:sz w:val="21"/>
                <w:szCs w:val="21"/>
              </w:rPr>
              <w:t>制备与表征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30 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30万元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8万元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8万元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30 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0 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生物质改性提质预处理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ascii="宋体" w:hAnsi="宋体" w:eastAsia="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ascii="宋体" w:hAnsi="宋体" w:eastAsia="宋体"/>
                <w:sz w:val="21"/>
                <w:szCs w:val="21"/>
              </w:rPr>
            </w:pPr>
          </w:p>
          <w:p>
            <w:pPr>
              <w:tabs>
                <w:tab w:val="center" w:pos="3417"/>
                <w:tab w:val="left" w:pos="4380"/>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bl>
    <w:p>
      <w:pPr>
        <w:spacing w:after="156" w:afterLines="50"/>
        <w:rPr>
          <w:rFonts w:ascii="仿宋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6286"/>
    <w:rsid w:val="00011472"/>
    <w:rsid w:val="000201CD"/>
    <w:rsid w:val="0002459A"/>
    <w:rsid w:val="0008306F"/>
    <w:rsid w:val="00096167"/>
    <w:rsid w:val="000C0DEB"/>
    <w:rsid w:val="000C302D"/>
    <w:rsid w:val="000E1CD8"/>
    <w:rsid w:val="000E7432"/>
    <w:rsid w:val="00101F57"/>
    <w:rsid w:val="00121642"/>
    <w:rsid w:val="00147C15"/>
    <w:rsid w:val="001719DC"/>
    <w:rsid w:val="00177A76"/>
    <w:rsid w:val="001B47DA"/>
    <w:rsid w:val="001F5E7C"/>
    <w:rsid w:val="00200E89"/>
    <w:rsid w:val="0022452B"/>
    <w:rsid w:val="0029742E"/>
    <w:rsid w:val="002B34F1"/>
    <w:rsid w:val="002C3F4E"/>
    <w:rsid w:val="002C52F9"/>
    <w:rsid w:val="002E3AC7"/>
    <w:rsid w:val="00316FFE"/>
    <w:rsid w:val="00317669"/>
    <w:rsid w:val="00342B67"/>
    <w:rsid w:val="003805FE"/>
    <w:rsid w:val="003A42AD"/>
    <w:rsid w:val="003A6D48"/>
    <w:rsid w:val="004114FC"/>
    <w:rsid w:val="00414D2D"/>
    <w:rsid w:val="0042181D"/>
    <w:rsid w:val="0045564A"/>
    <w:rsid w:val="00463420"/>
    <w:rsid w:val="00464A86"/>
    <w:rsid w:val="005421B8"/>
    <w:rsid w:val="0055670F"/>
    <w:rsid w:val="00565BA2"/>
    <w:rsid w:val="0058106E"/>
    <w:rsid w:val="0059402F"/>
    <w:rsid w:val="005D522A"/>
    <w:rsid w:val="005F24DF"/>
    <w:rsid w:val="00601D7C"/>
    <w:rsid w:val="006114FA"/>
    <w:rsid w:val="00622DBE"/>
    <w:rsid w:val="006360CB"/>
    <w:rsid w:val="00672859"/>
    <w:rsid w:val="006929E3"/>
    <w:rsid w:val="006A66CF"/>
    <w:rsid w:val="006F3D5A"/>
    <w:rsid w:val="006F6B1C"/>
    <w:rsid w:val="00701DED"/>
    <w:rsid w:val="00712EE5"/>
    <w:rsid w:val="00713630"/>
    <w:rsid w:val="00713E6B"/>
    <w:rsid w:val="00743820"/>
    <w:rsid w:val="00782DC8"/>
    <w:rsid w:val="00793AC1"/>
    <w:rsid w:val="00794CEB"/>
    <w:rsid w:val="007B6763"/>
    <w:rsid w:val="007D3B46"/>
    <w:rsid w:val="00804062"/>
    <w:rsid w:val="00832ACF"/>
    <w:rsid w:val="00866286"/>
    <w:rsid w:val="008B6E4A"/>
    <w:rsid w:val="008C2010"/>
    <w:rsid w:val="008C588D"/>
    <w:rsid w:val="008C74D2"/>
    <w:rsid w:val="008F7005"/>
    <w:rsid w:val="00912559"/>
    <w:rsid w:val="00925744"/>
    <w:rsid w:val="00933E80"/>
    <w:rsid w:val="009438BC"/>
    <w:rsid w:val="00976B72"/>
    <w:rsid w:val="009A5994"/>
    <w:rsid w:val="009B6EE0"/>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3E58"/>
    <w:rsid w:val="00BA2169"/>
    <w:rsid w:val="00BD0ACC"/>
    <w:rsid w:val="00C17A30"/>
    <w:rsid w:val="00C41E47"/>
    <w:rsid w:val="00D07711"/>
    <w:rsid w:val="00D8328C"/>
    <w:rsid w:val="00DC5C57"/>
    <w:rsid w:val="00DD272E"/>
    <w:rsid w:val="00E00E7D"/>
    <w:rsid w:val="00E13792"/>
    <w:rsid w:val="00E179AB"/>
    <w:rsid w:val="00E2260A"/>
    <w:rsid w:val="00E31844"/>
    <w:rsid w:val="00E45596"/>
    <w:rsid w:val="00E4646D"/>
    <w:rsid w:val="00E536BE"/>
    <w:rsid w:val="00E87AD3"/>
    <w:rsid w:val="00EA236F"/>
    <w:rsid w:val="00EA4A41"/>
    <w:rsid w:val="00F0302D"/>
    <w:rsid w:val="00F07188"/>
    <w:rsid w:val="00F20013"/>
    <w:rsid w:val="00F20084"/>
    <w:rsid w:val="00F4076E"/>
    <w:rsid w:val="00F45D65"/>
    <w:rsid w:val="00F52908"/>
    <w:rsid w:val="00F83705"/>
    <w:rsid w:val="00FD30C6"/>
    <w:rsid w:val="16625A2E"/>
    <w:rsid w:val="2B857E38"/>
    <w:rsid w:val="307B045A"/>
    <w:rsid w:val="33086976"/>
    <w:rsid w:val="333C7967"/>
    <w:rsid w:val="35D53C60"/>
    <w:rsid w:val="385A3811"/>
    <w:rsid w:val="5EF3418D"/>
    <w:rsid w:val="67C81713"/>
    <w:rsid w:val="6DEF76FB"/>
    <w:rsid w:val="70304418"/>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7">
    <w:name w:val="页眉 Char"/>
    <w:basedOn w:val="5"/>
    <w:link w:val="3"/>
    <w:qFormat/>
    <w:uiPriority w:val="99"/>
    <w:rPr>
      <w:rFonts w:ascii="Times New Roman" w:hAnsi="Times New Roman" w:eastAsia="仿宋_GB2312" w:cs="Times New Roman"/>
      <w:sz w:val="18"/>
      <w:szCs w:val="18"/>
    </w:rPr>
  </w:style>
  <w:style w:type="character" w:customStyle="1" w:styleId="8">
    <w:name w:val="页脚 Char"/>
    <w:basedOn w:val="5"/>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130</Words>
  <Characters>747</Characters>
  <Lines>6</Lines>
  <Paragraphs>1</Paragraphs>
  <TotalTime>18</TotalTime>
  <ScaleCrop>false</ScaleCrop>
  <LinksUpToDate>false</LinksUpToDate>
  <CharactersWithSpaces>876</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2016-10-31T05:18:00Z</dcterms:created>
  <dc:creator>章晓燕</dc:creator>
  <cp:lastModifiedBy>WPS_1563877973</cp:lastModifiedBy>
  <dcterms:modified xsi:type="dcterms:W3CDTF">2020-11-19T06:55:47Z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