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宋体"/>
          <w:b/>
          <w:szCs w:val="28"/>
        </w:rPr>
      </w:pPr>
      <w:r>
        <w:rPr>
          <w:rFonts w:hint="eastAsia" w:ascii="仿宋_GB2312" w:hAnsi="宋体"/>
          <w:b/>
          <w:szCs w:val="28"/>
        </w:rPr>
        <w:t>附件2</w:t>
      </w:r>
    </w:p>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264160</wp:posOffset>
                </wp:positionV>
                <wp:extent cx="1143000" cy="0"/>
                <wp:effectExtent l="9525" t="6985" r="9525"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63pt;margin-top:20.8pt;height:0pt;width:90pt;z-index:251660288;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VYwa1QAAAAkB&#10;AAAPAAAAAAAAAAEAIAAAACIAAABkcnMvZG93bnJldi54bWxQSwECFAAUAAAACACHTuJAjg2bEawB&#10;AABRAwAADgAAAAAAAAABACAAAAAkAQAAZHJzL2Uyb0RvYy54bWxQSwUGAAAAAAYABgBZAQAAQgUA&#10;AAAA&#10;">
                <v:fill on="f" focussize="0,0"/>
                <v:stroke color="#000000" joinstyle="round"/>
                <v:imagedata o:title=""/>
                <o:lock v:ext="edit" aspectratio="f"/>
              </v:line>
            </w:pict>
          </mc:Fallback>
        </mc:AlternateContent>
      </w:r>
      <w:r>
        <w:rPr>
          <w:rFonts w:hint="eastAsia" w:ascii="仿宋_GB2312" w:hAnsi="华文中宋"/>
          <w:bCs/>
          <w:sz w:val="24"/>
        </w:rPr>
        <w:t>填表人：     戴丹                                   填表日期：2020 年 11 月 5 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ascii="宋体" w:hAnsi="宋体" w:cs="宋体"/>
                <w:kern w:val="0"/>
                <w:sz w:val="24"/>
              </w:rPr>
              <w:t>基于移动端的科技特派员基地农产品销售及溯源模式研究和推广应用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ascii="宋体" w:hAnsi="宋体" w:eastAsia="宋体"/>
                <w:sz w:val="21"/>
                <w:szCs w:val="21"/>
              </w:rPr>
              <w:t>浙江省科技厅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2018</w:t>
            </w:r>
            <w:r>
              <w:rPr>
                <w:rFonts w:hint="eastAsia" w:ascii="宋体" w:hAnsi="宋体" w:eastAsia="宋体"/>
                <w:sz w:val="21"/>
                <w:szCs w:val="21"/>
                <w:lang w:eastAsia="zh-CN"/>
              </w:rPr>
              <w:t>.</w:t>
            </w:r>
            <w:r>
              <w:rPr>
                <w:rFonts w:hint="eastAsia" w:ascii="宋体" w:hAnsi="宋体" w:eastAsia="宋体"/>
                <w:sz w:val="21"/>
                <w:szCs w:val="21"/>
              </w:rPr>
              <w:t>01至2020</w:t>
            </w:r>
            <w:r>
              <w:rPr>
                <w:rFonts w:hint="eastAsia" w:ascii="宋体" w:hAnsi="宋体" w:eastAsia="宋体"/>
                <w:sz w:val="21"/>
                <w:szCs w:val="21"/>
                <w:lang w:val="en-US" w:eastAsia="zh-CN"/>
              </w:rPr>
              <w:t>.</w:t>
            </w:r>
            <w:bookmarkStart w:id="0" w:name="_GoBack"/>
            <w:bookmarkEnd w:id="0"/>
            <w:r>
              <w:rPr>
                <w:rFonts w:hint="eastAsia" w:ascii="宋体" w:hAnsi="宋体" w:eastAsia="宋体"/>
                <w:sz w:val="21"/>
                <w:szCs w:val="21"/>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戴丹</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余学军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副研究员</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基地对接，品牌建设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冯海林</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系统设计与研发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郑剑</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食品安全控制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10万元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10万元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0万元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sz w:val="21"/>
                <w:szCs w:val="21"/>
              </w:rPr>
            </w:pPr>
            <w:r>
              <w:rPr>
                <w:rFonts w:ascii="宋体" w:hAnsi="宋体" w:eastAsia="宋体"/>
                <w:sz w:val="21"/>
                <w:szCs w:val="21"/>
              </w:rPr>
              <w:t>25684.75</w:t>
            </w:r>
            <w:r>
              <w:rPr>
                <w:rFonts w:hint="eastAsia" w:ascii="宋体" w:hAnsi="宋体" w:eastAsia="宋体"/>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1.平台研发已完成；2.已选择2个基地接入溯源模块；3.发表一级期刊2篇，SCI 1篇，核心1篇；4.已获得2项软件著作权；5.培养2名研究生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0.0188万元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0.9268万元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0.03万元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0.6928万元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0.9万元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r>
              <w:rPr>
                <w:rFonts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6"/>
    <w:rsid w:val="00011472"/>
    <w:rsid w:val="000201CD"/>
    <w:rsid w:val="0002459A"/>
    <w:rsid w:val="0008306F"/>
    <w:rsid w:val="00096167"/>
    <w:rsid w:val="000C0DEB"/>
    <w:rsid w:val="000C302D"/>
    <w:rsid w:val="000E1CD8"/>
    <w:rsid w:val="000E7432"/>
    <w:rsid w:val="00101F57"/>
    <w:rsid w:val="00121642"/>
    <w:rsid w:val="0013035B"/>
    <w:rsid w:val="00147C15"/>
    <w:rsid w:val="001719DC"/>
    <w:rsid w:val="00177A76"/>
    <w:rsid w:val="001B47DA"/>
    <w:rsid w:val="001F5E7C"/>
    <w:rsid w:val="00200E89"/>
    <w:rsid w:val="0022452B"/>
    <w:rsid w:val="00285C81"/>
    <w:rsid w:val="00296A27"/>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3852"/>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11C29"/>
    <w:rsid w:val="008249E1"/>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309A"/>
    <w:rsid w:val="00AA6C30"/>
    <w:rsid w:val="00AA7B9C"/>
    <w:rsid w:val="00AC4CF4"/>
    <w:rsid w:val="00AD48DD"/>
    <w:rsid w:val="00AD5804"/>
    <w:rsid w:val="00B24CA8"/>
    <w:rsid w:val="00B460DB"/>
    <w:rsid w:val="00B7664F"/>
    <w:rsid w:val="00B8482B"/>
    <w:rsid w:val="00B93E58"/>
    <w:rsid w:val="00BA2169"/>
    <w:rsid w:val="00BD0ACC"/>
    <w:rsid w:val="00C41E47"/>
    <w:rsid w:val="00C83202"/>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00FE2857"/>
    <w:rsid w:val="2B857E38"/>
    <w:rsid w:val="307B045A"/>
    <w:rsid w:val="33086976"/>
    <w:rsid w:val="333C7967"/>
    <w:rsid w:val="35D53C60"/>
    <w:rsid w:val="41CF41C6"/>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semiHidden/>
    <w:qFormat/>
    <w:uiPriority w:val="99"/>
    <w:rPr>
      <w:rFonts w:ascii="Times New Roman" w:hAnsi="Times New Roman" w:eastAsia="仿宋_GB2312" w:cs="Times New Roman"/>
      <w:sz w:val="18"/>
      <w:szCs w:val="18"/>
    </w:rPr>
  </w:style>
  <w:style w:type="character" w:customStyle="1" w:styleId="8">
    <w:name w:val="页脚 Char"/>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241</Words>
  <Characters>1378</Characters>
  <Lines>11</Lines>
  <Paragraphs>3</Paragraphs>
  <TotalTime>3</TotalTime>
  <ScaleCrop>false</ScaleCrop>
  <LinksUpToDate>false</LinksUpToDate>
  <CharactersWithSpaces>1616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2020-11-05T12:10:00Z</dcterms:created>
  <dc:creator>章晓燕</dc:creator>
  <cp:lastModifiedBy>卟哩</cp:lastModifiedBy>
  <dcterms:modified xsi:type="dcterms:W3CDTF">2020-11-17T10:04:35Z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