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Line 2" o:spid="_x0000_s1026" o:spt="20" style="position:absolute;left:0pt;margin-left:63pt;margin-top:20.8pt;height:0pt;width:90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">
            <v:path arrowok="t"/>
            <v:fill focussize="0,0"/>
            <v:stroke/>
            <v:imagedata o:title=""/>
            <o:lock v:ext="edit"/>
          </v:line>
        </w:pict>
      </w:r>
      <w:r>
        <w:rPr>
          <w:rFonts w:hint="eastAsia" w:ascii="仿宋_GB2312" w:hAnsi="华文中宋"/>
          <w:bCs/>
          <w:sz w:val="24"/>
        </w:rPr>
        <w:t xml:space="preserve">填表人： </w:t>
      </w:r>
      <w:r>
        <w:rPr>
          <w:rFonts w:ascii="仿宋_GB2312" w:hAnsi="华文中宋"/>
          <w:bCs/>
          <w:sz w:val="24"/>
        </w:rPr>
        <w:t xml:space="preserve">  </w:t>
      </w:r>
      <w:r>
        <w:rPr>
          <w:rFonts w:hint="eastAsia" w:ascii="仿宋_GB2312" w:hAnsi="华文中宋"/>
          <w:bCs/>
          <w:sz w:val="24"/>
        </w:rPr>
        <w:t>郑志富                                  填表日期： 2020年 11 月 6日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bookmarkStart w:id="0" w:name="_GoBack"/>
            <w:bookmarkEnd w:id="0"/>
            <w:r>
              <w:rPr>
                <w:rFonts w:hint="eastAsia" w:ascii="宋体" w:hAnsi="宋体" w:eastAsia="宋体"/>
                <w:sz w:val="21"/>
                <w:szCs w:val="21"/>
              </w:rPr>
              <w:t>解析花生突变体中唑嘧磺草胺和双氟磺草胺除草剂非靶点抗性形成的机制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国家自然科学基金委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2019年1月至2022年12月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郑志富</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刘宏波</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转录组分析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甘毅</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除草剂代谢速率测定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郑月萍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助理研究员</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B</w:t>
            </w:r>
            <w:r>
              <w:rPr>
                <w:rFonts w:ascii="宋体" w:hAnsi="宋体" w:eastAsia="宋体"/>
                <w:sz w:val="21"/>
                <w:szCs w:val="21"/>
              </w:rPr>
              <w:t>SA-</w:t>
            </w:r>
            <w:r>
              <w:rPr>
                <w:rFonts w:hint="eastAsia" w:ascii="宋体" w:hAnsi="宋体" w:eastAsia="宋体"/>
                <w:sz w:val="21"/>
                <w:szCs w:val="21"/>
              </w:rPr>
              <w:t>seq分析、突变位点鉴定、遗传转化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61万元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1.4万元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14.6万元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10.5万元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20.5万元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48.8万元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12.2万元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rPr>
                <w:rFonts w:ascii="宋体" w:hAnsi="宋体" w:eastAsia="宋体"/>
                <w:sz w:val="21"/>
                <w:szCs w:val="21"/>
              </w:rPr>
            </w:pPr>
            <w:r>
              <w:rPr>
                <w:rFonts w:hint="eastAsia" w:ascii="宋体" w:hAnsi="宋体" w:eastAsia="宋体"/>
                <w:sz w:val="21"/>
                <w:szCs w:val="21"/>
              </w:rPr>
              <w:t>6.8万元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15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0.04</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1.30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ascii="宋体" w:hAnsi="宋体" w:eastAsia="宋体"/>
                <w:sz w:val="21"/>
                <w:szCs w:val="21"/>
              </w:rPr>
              <w:t>2.77</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2.14</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w:t>
            </w:r>
            <w:r>
              <w:rPr>
                <w:rFonts w:hint="eastAsia" w:ascii="宋体" w:hAnsi="宋体" w:eastAsia="宋体"/>
                <w:sz w:val="21"/>
                <w:szCs w:val="21"/>
              </w:rPr>
              <w:t>37万元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.03</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286"/>
    <w:rsid w:val="00000806"/>
    <w:rsid w:val="00011472"/>
    <w:rsid w:val="000201CD"/>
    <w:rsid w:val="0002459A"/>
    <w:rsid w:val="0008306F"/>
    <w:rsid w:val="00096167"/>
    <w:rsid w:val="000C0DEB"/>
    <w:rsid w:val="000C302D"/>
    <w:rsid w:val="000E1CD8"/>
    <w:rsid w:val="000E7432"/>
    <w:rsid w:val="00101F57"/>
    <w:rsid w:val="00121642"/>
    <w:rsid w:val="00132960"/>
    <w:rsid w:val="001370BE"/>
    <w:rsid w:val="00147C15"/>
    <w:rsid w:val="001535AE"/>
    <w:rsid w:val="0015548C"/>
    <w:rsid w:val="001719DC"/>
    <w:rsid w:val="00177A76"/>
    <w:rsid w:val="001B47DA"/>
    <w:rsid w:val="001F3168"/>
    <w:rsid w:val="001F5E7C"/>
    <w:rsid w:val="00200E89"/>
    <w:rsid w:val="0022452B"/>
    <w:rsid w:val="002647CC"/>
    <w:rsid w:val="0029742E"/>
    <w:rsid w:val="002B34F1"/>
    <w:rsid w:val="002C3F4E"/>
    <w:rsid w:val="002C52F9"/>
    <w:rsid w:val="002E3AC7"/>
    <w:rsid w:val="00316FFE"/>
    <w:rsid w:val="00317669"/>
    <w:rsid w:val="00342B67"/>
    <w:rsid w:val="003805FE"/>
    <w:rsid w:val="003A42AD"/>
    <w:rsid w:val="003A6D48"/>
    <w:rsid w:val="003B54F8"/>
    <w:rsid w:val="003F058F"/>
    <w:rsid w:val="004114FC"/>
    <w:rsid w:val="00414D2D"/>
    <w:rsid w:val="0042181D"/>
    <w:rsid w:val="00447461"/>
    <w:rsid w:val="0045564A"/>
    <w:rsid w:val="00463420"/>
    <w:rsid w:val="00464A86"/>
    <w:rsid w:val="004B3111"/>
    <w:rsid w:val="004C428E"/>
    <w:rsid w:val="00512F1D"/>
    <w:rsid w:val="005421B8"/>
    <w:rsid w:val="0055670F"/>
    <w:rsid w:val="00565BA2"/>
    <w:rsid w:val="0058106E"/>
    <w:rsid w:val="0059402F"/>
    <w:rsid w:val="005D522A"/>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87074"/>
    <w:rsid w:val="008B6E4A"/>
    <w:rsid w:val="008C588D"/>
    <w:rsid w:val="008C74D2"/>
    <w:rsid w:val="008F7005"/>
    <w:rsid w:val="0090092C"/>
    <w:rsid w:val="00912559"/>
    <w:rsid w:val="00925744"/>
    <w:rsid w:val="00933E80"/>
    <w:rsid w:val="009438BC"/>
    <w:rsid w:val="00976B72"/>
    <w:rsid w:val="009A5994"/>
    <w:rsid w:val="009A6070"/>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B1546"/>
    <w:rsid w:val="00BC0C60"/>
    <w:rsid w:val="00BD0ACC"/>
    <w:rsid w:val="00C41E47"/>
    <w:rsid w:val="00D07711"/>
    <w:rsid w:val="00D8328C"/>
    <w:rsid w:val="00DC5C57"/>
    <w:rsid w:val="00E00E7D"/>
    <w:rsid w:val="00E13792"/>
    <w:rsid w:val="00E179AB"/>
    <w:rsid w:val="00E2260A"/>
    <w:rsid w:val="00E31844"/>
    <w:rsid w:val="00E4236E"/>
    <w:rsid w:val="00E4646D"/>
    <w:rsid w:val="00E536BE"/>
    <w:rsid w:val="00E87AD3"/>
    <w:rsid w:val="00EA236F"/>
    <w:rsid w:val="00ED3F0D"/>
    <w:rsid w:val="00F05870"/>
    <w:rsid w:val="00F07188"/>
    <w:rsid w:val="00F20013"/>
    <w:rsid w:val="00F20084"/>
    <w:rsid w:val="00F4076E"/>
    <w:rsid w:val="00F45D65"/>
    <w:rsid w:val="00F52908"/>
    <w:rsid w:val="00F83705"/>
    <w:rsid w:val="00FD30C6"/>
    <w:rsid w:val="00FE38BB"/>
    <w:rsid w:val="23F33073"/>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136</Words>
  <Characters>779</Characters>
  <Lines>6</Lines>
  <Paragraphs>1</Paragraphs>
  <TotalTime>45</TotalTime>
  <ScaleCrop>false</ScaleCrop>
  <LinksUpToDate>false</LinksUpToDate>
  <CharactersWithSpaces>914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2019-06-06T13:43:00Z</dcterms:created>
  <dc:creator>章晓燕</dc:creator>
  <cp:lastModifiedBy>WPS_1563877973</cp:lastModifiedBy>
  <dcterms:modified xsi:type="dcterms:W3CDTF">2020-11-17T10:00:39Z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