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戴进峰                         填表日期： 2020年  11月  2日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Arial" w:hAnsi="Arial" w:eastAsia="宋体" w:cs="Arial"/>
                <w:kern w:val="0"/>
                <w:sz w:val="21"/>
                <w:szCs w:val="21"/>
              </w:rPr>
              <w:t xml:space="preserve">功能化石墨烯的表面性调控及其在水性聚氨酯中的应用研究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2017-06-23至2020-12-31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戴进峰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方案设计与具体执行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傅深渊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分散与机理分析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刘晓欢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结构与性能表征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陈磊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功能化衍生物的制备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5.0元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0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5.0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0.0万元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0.8867万元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0.3684万元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0.7531万元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0.0672万元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8556A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73C5F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9542C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34A"/>
    <w:rsid w:val="00F83705"/>
    <w:rsid w:val="00FD30C6"/>
    <w:rsid w:val="0B720699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234</Words>
  <Characters>1334</Characters>
  <Lines>11</Lines>
  <Paragraphs>3</Paragraphs>
  <TotalTime>0</TotalTime>
  <ScaleCrop>false</ScaleCrop>
  <LinksUpToDate>false</LinksUpToDate>
  <CharactersWithSpaces>1565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2020-11-02T07:36:00Z</dcterms:created>
  <dc:creator>章晓燕</dc:creator>
  <cp:lastModifiedBy>牛牛和吉吉妈妈</cp:lastModifiedBy>
  <dcterms:modified xsi:type="dcterms:W3CDTF">2020-11-09T06:36:01Z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