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    </w:t>
      </w:r>
      <w:r>
        <w:rPr>
          <w:rFonts w:hint="eastAsia" w:ascii="仿宋_GB2312" w:hAnsi="华文中宋"/>
          <w:bCs/>
          <w:sz w:val="24"/>
          <w:lang w:val="en-US" w:eastAsia="zh-CN"/>
        </w:rPr>
        <w:t>惠国华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 xml:space="preserve">                                 填表日期： 年  月 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高端金枪鱼储运物流关键技术研究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浙江海洋大学，大洋世家股份有限公司，西华大学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惠国华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85B6389"/>
    <w:rsid w:val="2B857E38"/>
    <w:rsid w:val="2D300CA1"/>
    <w:rsid w:val="307B045A"/>
    <w:rsid w:val="33086976"/>
    <w:rsid w:val="333C7967"/>
    <w:rsid w:val="35D53C60"/>
    <w:rsid w:val="5EF3418D"/>
    <w:rsid w:val="648E18AE"/>
    <w:rsid w:val="67C81713"/>
    <w:rsid w:val="6DEF76FB"/>
    <w:rsid w:val="6F0B5D43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25</TotalTime>
  <ScaleCrop>false</ScaleCrop>
  <LinksUpToDate>false</LinksUpToDate>
  <CharactersWithSpaces>1362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2020-11-17T02:32:58Z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